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0" w:firstLineChars="0"/>
        <w:jc w:val="center"/>
        <w:rPr>
          <w:rFonts w:ascii="黑体" w:hAnsi="黑体"/>
        </w:rPr>
      </w:pPr>
      <w:bookmarkStart w:id="0" w:name="_Toc90020003"/>
      <w:bookmarkStart w:id="1" w:name="_Toc533692844"/>
      <w:r>
        <w:rPr>
          <w:rFonts w:hint="eastAsia" w:ascii="黑体" w:hAnsi="黑体"/>
        </w:rPr>
        <w:t>调</w:t>
      </w:r>
      <w:r>
        <w:rPr>
          <w:rFonts w:ascii="黑体" w:hAnsi="黑体"/>
        </w:rPr>
        <w:t xml:space="preserve"> </w:t>
      </w:r>
      <w:r>
        <w:rPr>
          <w:rFonts w:hint="eastAsia" w:ascii="黑体" w:hAnsi="黑体"/>
        </w:rPr>
        <w:t>查</w:t>
      </w:r>
      <w:r>
        <w:rPr>
          <w:rFonts w:ascii="黑体" w:hAnsi="黑体"/>
        </w:rPr>
        <w:t xml:space="preserve"> </w:t>
      </w:r>
      <w:r>
        <w:rPr>
          <w:rFonts w:hint="eastAsia" w:ascii="黑体" w:hAnsi="黑体"/>
        </w:rPr>
        <w:t>表</w:t>
      </w:r>
      <w:r>
        <w:rPr>
          <w:rFonts w:ascii="黑体" w:hAnsi="黑体"/>
        </w:rPr>
        <w:t xml:space="preserve"> </w:t>
      </w:r>
      <w:r>
        <w:rPr>
          <w:rFonts w:hint="eastAsia" w:ascii="黑体" w:hAnsi="黑体"/>
        </w:rPr>
        <w:t>式</w:t>
      </w:r>
      <w:bookmarkEnd w:id="0"/>
    </w:p>
    <w:p>
      <w:pPr>
        <w:spacing w:line="300" w:lineRule="auto"/>
        <w:ind w:firstLine="544"/>
        <w:rPr>
          <w:sz w:val="28"/>
          <w:szCs w:val="28"/>
        </w:rPr>
      </w:pPr>
    </w:p>
    <w:p>
      <w:pPr>
        <w:pStyle w:val="3"/>
        <w:spacing w:line="400" w:lineRule="exact"/>
        <w:ind w:firstLine="0" w:firstLineChars="0"/>
        <w:jc w:val="center"/>
      </w:pPr>
      <w:bookmarkStart w:id="2" w:name="_Toc90020004"/>
      <w:bookmarkStart w:id="3" w:name="_Toc533692843"/>
      <w:r>
        <w:rPr>
          <w:rFonts w:hint="eastAsia"/>
        </w:rPr>
        <w:t>（一）调查单位基本情况</w:t>
      </w:r>
      <w:bookmarkEnd w:id="2"/>
      <w:bookmarkEnd w:id="3"/>
    </w:p>
    <w:tbl>
      <w:tblPr>
        <w:tblStyle w:val="12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481"/>
        <w:gridCol w:w="1830"/>
        <w:gridCol w:w="1587"/>
        <w:gridCol w:w="243"/>
        <w:gridCol w:w="15"/>
        <w:gridCol w:w="248"/>
        <w:gridCol w:w="652"/>
        <w:gridCol w:w="717"/>
        <w:gridCol w:w="198"/>
        <w:gridCol w:w="300"/>
        <w:gridCol w:w="526"/>
        <w:gridCol w:w="1004"/>
        <w:gridCol w:w="41"/>
        <w:gridCol w:w="1755"/>
        <w:gridCol w:w="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4" w:type="dxa"/>
          <w:trHeight w:val="284" w:hRule="atLeast"/>
          <w:jc w:val="center"/>
        </w:trPr>
        <w:tc>
          <w:tcPr>
            <w:tcW w:w="6797" w:type="dxa"/>
            <w:gridSpan w:val="11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4" w:type="dxa"/>
          <w:trHeight w:val="284" w:hRule="atLeast"/>
          <w:jc w:val="center"/>
        </w:trPr>
        <w:tc>
          <w:tcPr>
            <w:tcW w:w="6797" w:type="dxa"/>
            <w:gridSpan w:val="11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4" w:type="dxa"/>
          <w:trHeight w:val="284" w:hRule="atLeast"/>
          <w:jc w:val="center"/>
        </w:trPr>
        <w:tc>
          <w:tcPr>
            <w:tcW w:w="6797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4" w:type="dxa"/>
          <w:trHeight w:val="284" w:hRule="atLeast"/>
          <w:jc w:val="center"/>
        </w:trPr>
        <w:tc>
          <w:tcPr>
            <w:tcW w:w="6797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7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34" w:type="dxa"/>
          <w:trHeight w:val="284" w:hRule="atLeast"/>
          <w:jc w:val="center"/>
        </w:trPr>
        <w:tc>
          <w:tcPr>
            <w:tcW w:w="4156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</w:tc>
        <w:tc>
          <w:tcPr>
            <w:tcW w:w="10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5292" w:type="dxa"/>
            <w:gridSpan w:val="7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121400007410631800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尚未领取统一社会信用代码的填写原组织机构代码号：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98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336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单位详细名称 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山西庞泉沟国家级自然保护区管理局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89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机构主管部门类别代码（见说明）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4</w:t>
            </w:r>
          </w:p>
        </w:tc>
        <w:tc>
          <w:tcPr>
            <w:tcW w:w="5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522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所属国民经济行业分类门类代码（见说明）                                 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89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150" w:type="dxa"/>
            <w:gridSpan w:val="14"/>
            <w:tcBorders>
              <w:top w:val="single" w:color="auto" w:sz="2" w:space="0"/>
              <w:left w:val="single" w:color="auto" w:sz="2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机构属性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489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政府部门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事业单位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人民团体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企业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489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□国家机关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□科研院所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□中央机构编制部门直接管理类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□全民所有制企业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489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□高等教育机构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□民政部门登记类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□非全民所有制企业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489" w:type="dxa"/>
            <w:gridSpan w:val="2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□其他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9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150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单位级别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区县级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7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1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单位所在地及区划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山西省吕梁市交城县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区划代码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141122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9150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单位经费来源情况：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财政全额拨款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4575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法定代表人(单位负责人)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武保平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填表人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武建勇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89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4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联系方式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长途区号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固定电话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       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邮政编码  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030500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移动电话  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0358-3902312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传真号码  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0358-3902312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uto"/>
        <w:ind w:firstLine="0" w:firstLineChars="0"/>
        <w:rPr>
          <w:sz w:val="18"/>
        </w:rPr>
      </w:pPr>
      <w:r>
        <w:rPr>
          <w:rFonts w:hint="eastAsia"/>
          <w:sz w:val="18"/>
        </w:rPr>
        <w:t>单位负责人：</w:t>
      </w:r>
      <w:r>
        <w:rPr>
          <w:rFonts w:hint="eastAsia" w:ascii="宋体" w:hAnsi="宋体" w:cs="宋体"/>
          <w:sz w:val="18"/>
          <w:szCs w:val="18"/>
          <w:u w:val="single"/>
        </w:rPr>
        <w:t>武保平</w:t>
      </w:r>
      <w:r>
        <w:rPr>
          <w:rFonts w:hint="eastAsia"/>
          <w:sz w:val="18"/>
        </w:rPr>
        <w:t xml:space="preserve">  统计负责人：       填表人：</w:t>
      </w:r>
      <w:r>
        <w:rPr>
          <w:rFonts w:hint="eastAsia" w:ascii="宋体" w:hAnsi="宋体" w:cs="宋体"/>
          <w:sz w:val="18"/>
          <w:szCs w:val="18"/>
          <w:u w:val="single"/>
        </w:rPr>
        <w:t>武建勇</w:t>
      </w:r>
      <w:r>
        <w:rPr>
          <w:rFonts w:hint="eastAsia"/>
          <w:sz w:val="18"/>
        </w:rPr>
        <w:t xml:space="preserve"> 联系电话： </w:t>
      </w:r>
      <w:r>
        <w:rPr>
          <w:rFonts w:hint="eastAsia" w:ascii="宋体" w:hAnsi="宋体" w:cs="宋体"/>
          <w:sz w:val="18"/>
          <w:szCs w:val="18"/>
          <w:u w:val="single"/>
        </w:rPr>
        <w:t>0358-3902312</w:t>
      </w:r>
      <w:r>
        <w:rPr>
          <w:rFonts w:hint="eastAsia"/>
          <w:sz w:val="18"/>
        </w:rPr>
        <w:t xml:space="preserve">     报出日期：２０  年   月   日</w:t>
      </w:r>
    </w:p>
    <w:p>
      <w:pPr>
        <w:spacing w:line="240" w:lineRule="auto"/>
        <w:ind w:firstLine="0" w:firstLineChars="0"/>
        <w:rPr>
          <w:sz w:val="21"/>
          <w:szCs w:val="21"/>
        </w:rPr>
      </w:pPr>
    </w:p>
    <w:p>
      <w:pPr>
        <w:spacing w:line="240" w:lineRule="auto"/>
        <w:ind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</w:p>
    <w:p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 xml:space="preserve">机构主管部门类别代码： </w:t>
      </w:r>
      <w:r>
        <w:rPr>
          <w:rFonts w:hint="eastAsia" w:ascii="宋体" w:hAnsi="宋体" w:eastAsia="宋体" w:cs="宋体"/>
          <w:sz w:val="18"/>
          <w:szCs w:val="18"/>
        </w:rPr>
        <w:t>宣传部门（含新闻出版部门）（40）、发展改革部门（含粮食和储备系统（23））（25）、教育部门（03）、科技管理部门（01）、工业和信息化部门（19）、民族事务部门（21）、公安部门（20）、民政部门（26）、人力资源和社会保障部门（27）、自然资源部门（含林业和草原系统（11））（04）、生态环境部门（09）、住房和城乡建设部门（34）、交通运输部门（含民用航空系统、铁路系统、邮政系统）（33）、水利部门（35）、农业农村部门（05）、文化和旅游部门（06）（旅游部门（12）合并到文化部门（06））、卫生健康部门（07）（计生部门（08）合并到卫生部门（07））、应急管理部门（含地震系统（14）、矿山安全监察系统）（22）、中国人民银行（36）、国有资产监督管理部门（32）、市场监督管理部门（含药品监督管理系统（29）、知识产权系统（37））（24）、广电部门（10）、体育部门（28）、中科院所属部门（13）、社科院所属部门（31）、气象部门（15）、国防科技工业部门（39）、共青团组织（16）、工会组织（18）、妇联组织（17）、科协组织（02）、其他部门（30）</w:t>
      </w:r>
    </w:p>
    <w:p>
      <w:pPr>
        <w:spacing w:line="240" w:lineRule="auto"/>
        <w:ind w:firstLine="0" w:firstLineChars="0"/>
        <w:rPr>
          <w:rFonts w:ascii="宋体" w:hAnsi="宋体" w:eastAsia="宋体" w:cs="宋体"/>
          <w:sz w:val="18"/>
          <w:szCs w:val="18"/>
        </w:rPr>
      </w:pPr>
    </w:p>
    <w:p>
      <w:pPr>
        <w:spacing w:line="240" w:lineRule="auto"/>
        <w:ind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sz w:val="18"/>
          <w:szCs w:val="18"/>
        </w:rPr>
        <w:t>2</w:t>
      </w:r>
      <w:r>
        <w:rPr>
          <w:rFonts w:hint="eastAsia" w:ascii="宋体" w:hAnsi="宋体" w:eastAsia="宋体" w:cs="宋体"/>
          <w:b/>
          <w:sz w:val="18"/>
          <w:szCs w:val="18"/>
        </w:rPr>
        <w:t>.</w:t>
      </w:r>
      <w:r>
        <w:rPr>
          <w:rFonts w:ascii="宋体" w:hAnsi="宋体" w:eastAsia="宋体" w:cs="宋体"/>
          <w:b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b/>
          <w:sz w:val="18"/>
          <w:szCs w:val="18"/>
        </w:rPr>
        <w:t xml:space="preserve">国民经济行业分类门类代码（GB/4754-2017）： </w:t>
      </w:r>
      <w:r>
        <w:rPr>
          <w:rFonts w:hint="eastAsia" w:ascii="宋体" w:hAnsi="宋体" w:eastAsia="宋体" w:cs="宋体"/>
          <w:sz w:val="18"/>
          <w:szCs w:val="18"/>
        </w:rPr>
        <w:t>A 农、林、牧、渔业；B 采矿业； C 制造业； D 电力、热力、燃气及水生产和供应业； E 建筑业； F 批发和零售业； G 交通运输、仓储和邮政业； H 住宿和餐饮业； I 信息传输、软件和信息技术服务业； J 金融业； K 房地产业； L 租赁和商务服务业； M 科学研究和技术服务业； N 水利、环境和公共设施管理业； O 居民服务、修理和其他服务业； P 教育； Q 卫生和社会工作； R 文化、体育和娱乐业； S 公共管理、社会保障和社会组织； T 国际组织</w:t>
      </w:r>
    </w:p>
    <w:p>
      <w:pPr>
        <w:spacing w:line="240" w:lineRule="auto"/>
        <w:ind w:firstLine="0" w:firstLineChars="0"/>
        <w:rPr>
          <w:rFonts w:ascii="宋体" w:hAnsi="宋体" w:eastAsia="宋体" w:cs="宋体"/>
          <w:sz w:val="18"/>
          <w:szCs w:val="18"/>
        </w:rPr>
      </w:pPr>
    </w:p>
    <w:p>
      <w:pPr>
        <w:numPr>
          <w:ilvl w:val="0"/>
          <w:numId w:val="2"/>
        </w:numPr>
        <w:spacing w:line="240" w:lineRule="auto"/>
        <w:ind w:left="284" w:hanging="284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为减轻基层填报负担，将基本单位名录库信息维护到联网直报系统中，已获取的调查单位名录信息加载到调查系统中，企业无需重复填报，如有变更可更新相关信息。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rFonts w:hint="eastAsia"/>
          <w:sz w:val="18"/>
          <w:szCs w:val="18"/>
        </w:rPr>
        <w:br w:type="page"/>
      </w:r>
      <w:bookmarkStart w:id="4" w:name="_Toc90020005"/>
      <w:r>
        <w:rPr>
          <w:rFonts w:hint="eastAsia"/>
        </w:rPr>
        <w:t>（二）科普人员</w:t>
      </w:r>
      <w:bookmarkEnd w:id="4"/>
    </w:p>
    <w:tbl>
      <w:tblPr>
        <w:tblStyle w:val="12"/>
        <w:tblW w:w="9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7"/>
        <w:gridCol w:w="1415"/>
        <w:gridCol w:w="1100"/>
        <w:gridCol w:w="1072"/>
        <w:gridCol w:w="478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32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824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32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7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21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6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6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4" w:firstLineChars="1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一、科普专职人员</w:t>
            </w:r>
          </w:p>
        </w:tc>
        <w:tc>
          <w:tcPr>
            <w:tcW w:w="1100" w:type="dxa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KR100</w:t>
            </w:r>
          </w:p>
        </w:tc>
        <w:tc>
          <w:tcPr>
            <w:tcW w:w="1346" w:type="dxa"/>
            <w:tcBorders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15" w:firstLineChars="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KR110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女性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KR120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农村科普人员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KR130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KR140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科普创作（研发）人员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KR150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科普讲解（辅导）人员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KR160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43" w:firstLineChars="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二、科普兼职人员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KR200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215" w:firstLineChars="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KR210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女性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KR220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农村科普人员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KR230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731" w:firstLineChars="4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科普讲解（辅导）人员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KR240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172" w:firstLineChars="10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当年实际投入工作量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人天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KR250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ind w:firstLine="43" w:firstLineChars="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三、注册科普（技）志愿者</w:t>
            </w:r>
          </w:p>
        </w:tc>
        <w:tc>
          <w:tcPr>
            <w:tcW w:w="1100" w:type="dxa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3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KR300</w:t>
            </w:r>
          </w:p>
        </w:tc>
        <w:tc>
          <w:tcPr>
            <w:tcW w:w="1346" w:type="dxa"/>
            <w:tcBorders>
              <w:top w:val="nil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</w:tr>
    </w:tbl>
    <w:p>
      <w:pPr>
        <w:spacing w:line="240" w:lineRule="auto"/>
        <w:ind w:firstLine="0" w:firstLineChars="0"/>
        <w:rPr>
          <w:b/>
          <w:bCs/>
          <w:snapToGrid w:val="0"/>
          <w:szCs w:val="21"/>
        </w:rPr>
      </w:pPr>
      <w:r>
        <w:rPr>
          <w:rFonts w:hint="eastAsia"/>
          <w:sz w:val="18"/>
        </w:rPr>
        <w:t>单位负责人：</w:t>
      </w:r>
      <w:r>
        <w:rPr>
          <w:rFonts w:hint="eastAsia" w:ascii="宋体" w:hAnsi="宋体" w:cs="宋体"/>
          <w:sz w:val="18"/>
          <w:szCs w:val="18"/>
          <w:u w:val="single"/>
        </w:rPr>
        <w:t>武保平</w:t>
      </w:r>
      <w:r>
        <w:rPr>
          <w:rFonts w:hint="eastAsia"/>
          <w:sz w:val="18"/>
        </w:rPr>
        <w:t xml:space="preserve">  统计负责人：         填表人：</w:t>
      </w:r>
      <w:r>
        <w:rPr>
          <w:rFonts w:hint="eastAsia" w:ascii="宋体" w:hAnsi="宋体" w:cs="宋体"/>
          <w:sz w:val="18"/>
          <w:szCs w:val="18"/>
          <w:u w:val="single"/>
        </w:rPr>
        <w:t>武建勇</w:t>
      </w:r>
      <w:r>
        <w:rPr>
          <w:rFonts w:hint="eastAsia"/>
          <w:sz w:val="18"/>
        </w:rPr>
        <w:t xml:space="preserve">     联系电话：</w:t>
      </w:r>
      <w:r>
        <w:rPr>
          <w:rFonts w:hint="eastAsia" w:ascii="宋体" w:hAnsi="宋体" w:cs="宋体"/>
          <w:sz w:val="18"/>
          <w:szCs w:val="18"/>
          <w:u w:val="single"/>
        </w:rPr>
        <w:t>0358-3902312</w:t>
      </w:r>
      <w:r>
        <w:rPr>
          <w:rFonts w:hint="eastAsia"/>
          <w:sz w:val="18"/>
        </w:rPr>
        <w:t xml:space="preserve">  报出日期：20  年  月  日</w:t>
      </w:r>
    </w:p>
    <w:p>
      <w:pPr>
        <w:spacing w:line="276" w:lineRule="auto"/>
        <w:ind w:firstLine="344"/>
        <w:rPr>
          <w:snapToGrid w:val="0"/>
          <w:sz w:val="18"/>
          <w:szCs w:val="18"/>
        </w:rPr>
      </w:pPr>
    </w:p>
    <w:p>
      <w:pPr>
        <w:spacing w:line="240" w:lineRule="auto"/>
        <w:ind w:firstLine="0" w:firstLineChars="0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说明：主要平衡关系</w:t>
      </w:r>
    </w:p>
    <w:p>
      <w:pPr>
        <w:spacing w:line="276" w:lineRule="auto"/>
        <w:ind w:firstLine="344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KR110≤KR100，KR120≤KR100，KR130≤KR100，KR140≤KR100，KR150≤KR100，KR160≤KR100。</w:t>
      </w:r>
    </w:p>
    <w:p>
      <w:pPr>
        <w:spacing w:line="276" w:lineRule="auto"/>
        <w:ind w:firstLine="344"/>
        <w:rPr>
          <w:rFonts w:ascii="宋体" w:hAnsi="宋体" w:eastAsia="宋体" w:cs="宋体"/>
          <w:snapToGrid w:val="0"/>
          <w:sz w:val="18"/>
          <w:szCs w:val="18"/>
        </w:rPr>
      </w:pPr>
      <w:r>
        <w:rPr>
          <w:rFonts w:hint="eastAsia" w:ascii="宋体" w:hAnsi="宋体" w:eastAsia="宋体" w:cs="宋体"/>
          <w:snapToGrid w:val="0"/>
          <w:sz w:val="18"/>
          <w:szCs w:val="18"/>
        </w:rPr>
        <w:t>KR210≤KR200，KR220≤KR200，KR230≤KR200，KR240≤KR200。</w:t>
      </w:r>
    </w:p>
    <w:p>
      <w:pPr>
        <w:spacing w:line="276" w:lineRule="auto"/>
        <w:ind w:firstLine="344"/>
        <w:rPr>
          <w:rFonts w:ascii="宋体" w:hAnsi="宋体" w:eastAsia="宋体" w:cs="宋体"/>
          <w:snapToGrid w:val="0"/>
          <w:sz w:val="18"/>
          <w:szCs w:val="18"/>
        </w:rPr>
      </w:pPr>
    </w:p>
    <w:p>
      <w:pPr>
        <w:pStyle w:val="3"/>
        <w:spacing w:line="400" w:lineRule="exact"/>
        <w:ind w:firstLine="0" w:firstLineChars="0"/>
        <w:jc w:val="center"/>
        <w:rPr>
          <w:rStyle w:val="18"/>
        </w:rPr>
      </w:pPr>
      <w:r>
        <w:rPr>
          <w:rFonts w:ascii="仿宋" w:hAnsi="仿宋" w:eastAsia="仿宋" w:cs="宋体"/>
          <w:b/>
          <w:bCs/>
        </w:rPr>
        <w:br w:type="page"/>
      </w:r>
      <w:bookmarkEnd w:id="1"/>
      <w:bookmarkStart w:id="5" w:name="_Toc533692845"/>
      <w:bookmarkStart w:id="6" w:name="_Toc90020006"/>
      <w:r>
        <w:rPr>
          <w:rFonts w:hint="eastAsia"/>
        </w:rPr>
        <w:t>（三）科普场地</w:t>
      </w:r>
      <w:bookmarkEnd w:id="5"/>
      <w:bookmarkEnd w:id="6"/>
    </w:p>
    <w:p>
      <w:pPr>
        <w:ind w:firstLine="284"/>
        <w:rPr>
          <w:sz w:val="15"/>
          <w:szCs w:val="15"/>
        </w:rPr>
      </w:pPr>
    </w:p>
    <w:tbl>
      <w:tblPr>
        <w:tblStyle w:val="12"/>
        <w:tblW w:w="9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4957"/>
        <w:gridCol w:w="1104"/>
        <w:gridCol w:w="771"/>
        <w:gridCol w:w="893"/>
        <w:gridCol w:w="593"/>
        <w:gridCol w:w="1262"/>
        <w:gridCol w:w="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284" w:hRule="atLeast"/>
          <w:jc w:val="center"/>
        </w:trPr>
        <w:tc>
          <w:tcPr>
            <w:tcW w:w="6832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882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284" w:hRule="atLeast"/>
          <w:jc w:val="center"/>
        </w:trPr>
        <w:tc>
          <w:tcPr>
            <w:tcW w:w="6832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284" w:hRule="atLeast"/>
          <w:jc w:val="center"/>
        </w:trPr>
        <w:tc>
          <w:tcPr>
            <w:tcW w:w="68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284" w:hRule="atLeast"/>
          <w:jc w:val="center"/>
        </w:trPr>
        <w:tc>
          <w:tcPr>
            <w:tcW w:w="683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7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284" w:hRule="atLeast"/>
          <w:jc w:val="center"/>
        </w:trPr>
        <w:tc>
          <w:tcPr>
            <w:tcW w:w="495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8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4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一、科普场馆</w:t>
            </w:r>
          </w:p>
        </w:tc>
        <w:tc>
          <w:tcPr>
            <w:tcW w:w="1875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1.科技馆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KC116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2.科学技术类博物馆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门票收入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KC126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3.青少年科技馆站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KC133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常设展品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件套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KC134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二、非场馆类科普场地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1.个数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2.科普展厅面积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平方米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3.当年参观人次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KC230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三、公共场所科普宣传设施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1.城市社区科普（技）活动场所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KC311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2.农村科普（技）活动场所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KC320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KC321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3.流动科普宣传设施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科普宣传专用车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辆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KC330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KC331 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流动科技馆站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KC332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当年服务人次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KC333      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4.科普宣传专栏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KC340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当年内容更新次数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KC341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1.国家级科普基地</w:t>
            </w: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KC410</w:t>
            </w:r>
          </w:p>
        </w:tc>
        <w:tc>
          <w:tcPr>
            <w:tcW w:w="12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496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2.省级科普基地</w:t>
            </w:r>
          </w:p>
        </w:tc>
        <w:tc>
          <w:tcPr>
            <w:tcW w:w="187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8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KC420</w:t>
            </w:r>
          </w:p>
        </w:tc>
        <w:tc>
          <w:tcPr>
            <w:tcW w:w="1262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pacing w:line="240" w:lineRule="auto"/>
        <w:ind w:firstLine="0" w:firstLineChars="0"/>
        <w:rPr>
          <w:rFonts w:eastAsia="楷体_GB2312"/>
          <w:sz w:val="18"/>
        </w:rPr>
      </w:pPr>
      <w:r>
        <w:rPr>
          <w:rFonts w:eastAsia="楷体_GB2312"/>
          <w:sz w:val="18"/>
        </w:rPr>
        <w:t>单位负责人：</w:t>
      </w:r>
      <w:r>
        <w:rPr>
          <w:rFonts w:hint="eastAsia" w:ascii="宋体" w:hAnsi="宋体" w:cs="宋体"/>
          <w:sz w:val="18"/>
          <w:szCs w:val="18"/>
          <w:u w:val="single"/>
        </w:rPr>
        <w:t>武保平</w:t>
      </w:r>
      <w:r>
        <w:rPr>
          <w:rFonts w:hint="eastAsia" w:eastAsia="楷体_GB2312"/>
          <w:sz w:val="18"/>
        </w:rPr>
        <w:t xml:space="preserve">      </w:t>
      </w:r>
      <w:r>
        <w:rPr>
          <w:rFonts w:eastAsia="楷体_GB2312"/>
          <w:sz w:val="18"/>
        </w:rPr>
        <w:t>统计负责人：</w:t>
      </w:r>
      <w:r>
        <w:rPr>
          <w:rFonts w:hint="eastAsia" w:eastAsia="楷体_GB2312"/>
          <w:sz w:val="18"/>
        </w:rPr>
        <w:t xml:space="preserve">        </w:t>
      </w:r>
      <w:r>
        <w:rPr>
          <w:rFonts w:eastAsia="楷体_GB2312"/>
          <w:sz w:val="18"/>
        </w:rPr>
        <w:t>填表人：</w:t>
      </w:r>
      <w:r>
        <w:rPr>
          <w:rFonts w:hint="eastAsia" w:ascii="宋体" w:hAnsi="宋体" w:cs="宋体"/>
          <w:sz w:val="18"/>
          <w:szCs w:val="18"/>
          <w:u w:val="single"/>
        </w:rPr>
        <w:t>武建勇</w:t>
      </w:r>
      <w:r>
        <w:rPr>
          <w:rFonts w:hint="eastAsia" w:eastAsia="楷体_GB2312"/>
          <w:sz w:val="18"/>
        </w:rPr>
        <w:t xml:space="preserve">  </w:t>
      </w:r>
      <w:r>
        <w:rPr>
          <w:rFonts w:eastAsia="楷体_GB2312"/>
          <w:sz w:val="18"/>
        </w:rPr>
        <w:t>联系电话：</w:t>
      </w:r>
      <w:r>
        <w:rPr>
          <w:rFonts w:hint="eastAsia" w:ascii="宋体" w:hAnsi="宋体" w:cs="宋体"/>
          <w:sz w:val="18"/>
          <w:szCs w:val="18"/>
          <w:u w:val="single"/>
        </w:rPr>
        <w:t>0358-3902312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</w:t>
      </w:r>
      <w:r>
        <w:rPr>
          <w:rFonts w:eastAsia="楷体_GB2312"/>
          <w:sz w:val="18"/>
        </w:rPr>
        <w:t>报出日期：20  年</w:t>
      </w:r>
      <w:r>
        <w:rPr>
          <w:rFonts w:hint="eastAsia" w:eastAsia="楷体_GB2312"/>
          <w:sz w:val="18"/>
        </w:rPr>
        <w:t xml:space="preserve">  </w:t>
      </w:r>
      <w:r>
        <w:rPr>
          <w:rFonts w:eastAsia="楷体_GB2312"/>
          <w:sz w:val="18"/>
        </w:rPr>
        <w:t>月</w:t>
      </w:r>
      <w:r>
        <w:rPr>
          <w:rFonts w:hint="eastAsia" w:eastAsia="楷体_GB2312"/>
          <w:sz w:val="18"/>
        </w:rPr>
        <w:t xml:space="preserve">  </w:t>
      </w:r>
      <w:r>
        <w:rPr>
          <w:rFonts w:eastAsia="楷体_GB2312"/>
          <w:sz w:val="18"/>
        </w:rPr>
        <w:t>日</w:t>
      </w: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  <w:szCs w:val="18"/>
        </w:rPr>
      </w:pPr>
      <w:bookmarkStart w:id="17" w:name="_GoBack"/>
    </w:p>
    <w:bookmarkEnd w:id="17"/>
    <w:p>
      <w:pPr>
        <w:spacing w:line="240" w:lineRule="auto"/>
        <w:ind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 1. 主要平衡关系：KC</w:t>
      </w:r>
      <w:r>
        <w:rPr>
          <w:rFonts w:ascii="宋体" w:hAnsi="宋体" w:eastAsia="宋体" w:cs="宋体"/>
          <w:sz w:val="18"/>
          <w:szCs w:val="18"/>
        </w:rPr>
        <w:t>112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111</w:t>
      </w:r>
      <w:r>
        <w:rPr>
          <w:rFonts w:hint="eastAsia" w:ascii="宋体" w:hAnsi="宋体" w:eastAsia="宋体" w:cs="宋体"/>
          <w:sz w:val="18"/>
          <w:szCs w:val="18"/>
        </w:rPr>
        <w:t>；KC</w:t>
      </w:r>
      <w:r>
        <w:rPr>
          <w:rFonts w:ascii="宋体" w:hAnsi="宋体" w:eastAsia="宋体" w:cs="宋体"/>
          <w:sz w:val="18"/>
          <w:szCs w:val="18"/>
        </w:rPr>
        <w:t>122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121</w:t>
      </w:r>
      <w:r>
        <w:rPr>
          <w:rFonts w:hint="eastAsia" w:ascii="宋体" w:hAnsi="宋体" w:eastAsia="宋体" w:cs="宋体"/>
          <w:sz w:val="18"/>
          <w:szCs w:val="18"/>
        </w:rPr>
        <w:t>；KC</w:t>
      </w:r>
      <w:r>
        <w:rPr>
          <w:rFonts w:ascii="宋体" w:hAnsi="宋体" w:eastAsia="宋体" w:cs="宋体"/>
          <w:sz w:val="18"/>
          <w:szCs w:val="18"/>
        </w:rPr>
        <w:t>132</w:t>
      </w:r>
      <w:r>
        <w:rPr>
          <w:rFonts w:hint="eastAsia" w:ascii="宋体" w:hAnsi="宋体" w:eastAsia="宋体" w:cs="宋体"/>
          <w:snapToGrid w:val="0"/>
          <w:sz w:val="18"/>
          <w:szCs w:val="18"/>
        </w:rPr>
        <w:t>＜</w:t>
      </w:r>
      <w:r>
        <w:rPr>
          <w:rFonts w:hint="eastAsia" w:ascii="宋体" w:hAnsi="宋体" w:eastAsia="宋体" w:cs="宋体"/>
          <w:sz w:val="18"/>
          <w:szCs w:val="18"/>
        </w:rPr>
        <w:t>KC</w:t>
      </w:r>
      <w:r>
        <w:rPr>
          <w:rFonts w:ascii="宋体" w:hAnsi="宋体" w:eastAsia="宋体" w:cs="宋体"/>
          <w:sz w:val="18"/>
          <w:szCs w:val="18"/>
        </w:rPr>
        <w:t>131</w:t>
      </w:r>
    </w:p>
    <w:p>
      <w:pPr>
        <w:spacing w:line="240" w:lineRule="auto"/>
        <w:ind w:firstLine="566" w:firstLineChars="329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科普场馆必须是以上列举的三类。青少年科技馆站必须专门用于开展面向青少年的科普宣传教育。</w:t>
      </w:r>
    </w:p>
    <w:p>
      <w:pPr>
        <w:spacing w:line="240" w:lineRule="auto"/>
        <w:ind w:firstLine="566" w:firstLineChars="3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 建筑面积（</w:t>
      </w:r>
      <w:r>
        <w:rPr>
          <w:rFonts w:ascii="宋体" w:hAnsi="宋体" w:eastAsia="宋体" w:cs="宋体"/>
          <w:sz w:val="18"/>
          <w:szCs w:val="18"/>
        </w:rPr>
        <w:t>KC111</w:t>
      </w:r>
      <w:r>
        <w:rPr>
          <w:rFonts w:hint="eastAsia" w:ascii="宋体" w:hAnsi="宋体" w:eastAsia="宋体" w:cs="宋体"/>
          <w:sz w:val="18"/>
          <w:szCs w:val="18"/>
        </w:rPr>
        <w:t>、KC</w:t>
      </w:r>
      <w:r>
        <w:rPr>
          <w:rFonts w:ascii="宋体" w:hAnsi="宋体" w:eastAsia="宋体" w:cs="宋体"/>
          <w:sz w:val="18"/>
          <w:szCs w:val="18"/>
        </w:rPr>
        <w:t>121</w:t>
      </w:r>
      <w:r>
        <w:rPr>
          <w:rFonts w:hint="eastAsia" w:ascii="宋体" w:hAnsi="宋体" w:eastAsia="宋体" w:cs="宋体"/>
          <w:sz w:val="18"/>
          <w:szCs w:val="18"/>
        </w:rPr>
        <w:t>、KC</w:t>
      </w:r>
      <w:r>
        <w:rPr>
          <w:rFonts w:ascii="宋体" w:hAnsi="宋体" w:eastAsia="宋体" w:cs="宋体"/>
          <w:sz w:val="18"/>
          <w:szCs w:val="18"/>
        </w:rPr>
        <w:t>131</w:t>
      </w:r>
      <w:r>
        <w:rPr>
          <w:rFonts w:hint="eastAsia" w:ascii="宋体" w:hAnsi="宋体" w:eastAsia="宋体" w:cs="宋体"/>
          <w:sz w:val="18"/>
          <w:szCs w:val="18"/>
        </w:rPr>
        <w:t>）：建筑面积在500平米以下的，出租用于他用（商业经营等）或已丧失科普功能的，均不在此项统计范围内。</w:t>
      </w:r>
    </w:p>
    <w:p>
      <w:pPr>
        <w:spacing w:line="240" w:lineRule="auto"/>
        <w:ind w:firstLine="566" w:firstLineChars="3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. 展厅面积（KC112、KC122、KC132）：指用于各类展览的实际使用面积，不含公共设施、办公室和用于其他用途的使用面积。</w:t>
      </w:r>
    </w:p>
    <w:p>
      <w:pPr>
        <w:spacing w:line="240" w:lineRule="auto"/>
        <w:ind w:firstLine="566" w:firstLineChars="3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5</w:t>
      </w:r>
      <w:r>
        <w:rPr>
          <w:rFonts w:hint="eastAsia" w:ascii="宋体" w:hAnsi="宋体" w:eastAsia="宋体" w:cs="宋体"/>
          <w:sz w:val="18"/>
          <w:szCs w:val="18"/>
        </w:rPr>
        <w:t>. 当年参观人次（KC113、KC123、KC133）：如果有参观票据，以票根上的年度内数字为准。如果没有参观票据，则以馆内统计的人数为准。馆内没有过任何统计，则填报零。不可随意填报。</w:t>
      </w:r>
    </w:p>
    <w:p>
      <w:pPr>
        <w:spacing w:line="240" w:lineRule="auto"/>
        <w:ind w:firstLine="566" w:firstLineChars="329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6. 场馆数量不能出现大于1的情况，每个场馆要单独填报。</w:t>
      </w:r>
    </w:p>
    <w:p>
      <w:pPr>
        <w:spacing w:line="240" w:lineRule="auto"/>
        <w:ind w:right="156" w:rightChars="50" w:firstLine="566" w:firstLineChars="3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hint="eastAsia" w:ascii="宋体" w:hAnsi="宋体" w:eastAsia="宋体" w:cs="宋体"/>
          <w:sz w:val="18"/>
          <w:szCs w:val="18"/>
        </w:rPr>
        <w:t xml:space="preserve">. 场馆常设展品的件套数，以完整呈现一个展出物品为一件套。   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bookmarkStart w:id="7" w:name="_Toc533692846"/>
      <w:r>
        <w:rPr>
          <w:rFonts w:hint="eastAsia"/>
        </w:rPr>
        <w:br w:type="page"/>
      </w:r>
      <w:bookmarkStart w:id="8" w:name="_Toc90020007"/>
      <w:r>
        <w:rPr>
          <w:rFonts w:hint="eastAsia"/>
        </w:rPr>
        <w:t>（四）科普经费</w:t>
      </w:r>
      <w:bookmarkEnd w:id="7"/>
      <w:bookmarkEnd w:id="8"/>
    </w:p>
    <w:p>
      <w:pPr>
        <w:ind w:firstLine="344"/>
        <w:rPr>
          <w:sz w:val="18"/>
          <w:szCs w:val="18"/>
        </w:rPr>
      </w:pPr>
    </w:p>
    <w:tbl>
      <w:tblPr>
        <w:tblStyle w:val="12"/>
        <w:tblW w:w="8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76"/>
        <w:gridCol w:w="2000"/>
        <w:gridCol w:w="59"/>
        <w:gridCol w:w="874"/>
        <w:gridCol w:w="6"/>
        <w:gridCol w:w="1447"/>
        <w:gridCol w:w="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1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833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1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1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1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尚未领取统一社会信用代码的填写原组织机构代码号□□□□□□□□□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7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8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237" w:hRule="atLeast"/>
          <w:jc w:val="center"/>
        </w:trPr>
        <w:tc>
          <w:tcPr>
            <w:tcW w:w="38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9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4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一、当年科普经费筹集额</w:t>
            </w:r>
          </w:p>
        </w:tc>
        <w:tc>
          <w:tcPr>
            <w:tcW w:w="2000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KJ100</w:t>
            </w:r>
          </w:p>
        </w:tc>
        <w:tc>
          <w:tcPr>
            <w:tcW w:w="145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1.政府拨款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其中：科普专项经费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KJ111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2.捐赠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3.自筹资金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KJ130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二、当年科普经费使用额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KJ200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1.行政支出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KJ210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2.科普活动支出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KJ220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其中：科技活动周经费支出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KJ221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3.科普场馆基建支出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KJ230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其中：政府拨款支出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KJ231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4.科普展品、设施支出</w:t>
            </w:r>
          </w:p>
        </w:tc>
        <w:tc>
          <w:tcPr>
            <w:tcW w:w="200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KJ233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jc w:val="center"/>
        </w:trPr>
        <w:tc>
          <w:tcPr>
            <w:tcW w:w="385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5.其他支出</w:t>
            </w:r>
          </w:p>
        </w:tc>
        <w:tc>
          <w:tcPr>
            <w:tcW w:w="2000" w:type="dxa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93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KJ240</w:t>
            </w:r>
          </w:p>
        </w:tc>
        <w:tc>
          <w:tcPr>
            <w:tcW w:w="145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</w:tbl>
    <w:p>
      <w:pPr>
        <w:spacing w:line="240" w:lineRule="auto"/>
        <w:ind w:firstLine="688" w:firstLineChars="400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单位负责人：</w:t>
      </w:r>
      <w:r>
        <w:rPr>
          <w:rFonts w:hint="eastAsia" w:ascii="宋体" w:hAnsi="宋体" w:cs="宋体"/>
          <w:sz w:val="18"/>
          <w:szCs w:val="18"/>
          <w:u w:val="single"/>
        </w:rPr>
        <w:t>武保平</w:t>
      </w:r>
      <w:r>
        <w:rPr>
          <w:rFonts w:hint="eastAsia" w:ascii="仿宋" w:hAnsi="仿宋" w:eastAsia="仿宋" w:cs="仿宋"/>
          <w:sz w:val="18"/>
          <w:szCs w:val="18"/>
        </w:rPr>
        <w:t xml:space="preserve">  统计负责人：      填表人：</w:t>
      </w:r>
      <w:r>
        <w:rPr>
          <w:rFonts w:hint="eastAsia" w:ascii="宋体" w:hAnsi="宋体" w:cs="宋体"/>
          <w:sz w:val="18"/>
          <w:szCs w:val="18"/>
          <w:u w:val="single"/>
        </w:rPr>
        <w:t>武建勇</w:t>
      </w:r>
      <w:r>
        <w:rPr>
          <w:rFonts w:hint="eastAsia" w:ascii="仿宋" w:hAnsi="仿宋" w:eastAsia="仿宋" w:cs="仿宋"/>
          <w:sz w:val="18"/>
          <w:szCs w:val="18"/>
        </w:rPr>
        <w:t xml:space="preserve">   联系电话：</w:t>
      </w:r>
      <w:r>
        <w:rPr>
          <w:rFonts w:hint="eastAsia" w:ascii="宋体" w:hAnsi="宋体" w:cs="宋体"/>
          <w:sz w:val="18"/>
          <w:szCs w:val="18"/>
          <w:u w:val="single"/>
        </w:rPr>
        <w:t>0358-3902312</w:t>
      </w:r>
      <w:r>
        <w:rPr>
          <w:rFonts w:hint="eastAsia" w:ascii="仿宋" w:hAnsi="仿宋" w:eastAsia="仿宋" w:cs="仿宋"/>
          <w:sz w:val="18"/>
          <w:szCs w:val="18"/>
        </w:rPr>
        <w:t xml:space="preserve"> 报出日期：20  年  月  日</w:t>
      </w:r>
    </w:p>
    <w:p>
      <w:pPr>
        <w:spacing w:line="240" w:lineRule="auto"/>
        <w:ind w:right="156" w:rightChars="50" w:firstLine="0" w:firstLineChars="0"/>
        <w:rPr>
          <w:rFonts w:ascii="宋体" w:hAnsi="宋体" w:eastAsia="宋体" w:cs="宋体"/>
          <w:sz w:val="18"/>
          <w:szCs w:val="18"/>
        </w:rPr>
      </w:pPr>
    </w:p>
    <w:p>
      <w:pPr>
        <w:spacing w:line="240" w:lineRule="auto"/>
        <w:ind w:left="156" w:leftChars="50" w:right="156" w:rightChars="50" w:firstLine="344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说明：1. 主要平衡关系：</w:t>
      </w: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KJ100＝KJ110＋KJ120＋KJ130；  </w:t>
      </w:r>
    </w:p>
    <w:p>
      <w:pPr>
        <w:spacing w:line="240" w:lineRule="auto"/>
        <w:ind w:right="156" w:rightChars="50" w:firstLine="1032" w:firstLineChars="6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KJ200＝KJ210＋KJ220＋KJ230＋KJ233＋KJ240；</w:t>
      </w: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KJ110≥KJ111；KJ220≥KJ221；KJ230≥KJ231</w:t>
      </w: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  <w:szCs w:val="18"/>
        </w:rPr>
      </w:pPr>
    </w:p>
    <w:p>
      <w:pPr>
        <w:spacing w:line="240" w:lineRule="auto"/>
        <w:ind w:left="156" w:leftChars="50" w:right="156" w:rightChars="50" w:firstLine="0" w:firstLineChars="0"/>
        <w:rPr>
          <w:rFonts w:eastAsia="楷体_GB2312"/>
          <w:sz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2. 经费部分，所有单位均为万元。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r>
        <w:rPr>
          <w:sz w:val="18"/>
        </w:rPr>
        <w:br w:type="page"/>
      </w:r>
      <w:bookmarkStart w:id="9" w:name="_Toc90020008"/>
      <w:bookmarkStart w:id="10" w:name="_Toc533692847"/>
      <w:r>
        <w:rPr>
          <w:rFonts w:hint="eastAsia"/>
        </w:rPr>
        <w:t>（五）科普传媒</w:t>
      </w:r>
      <w:bookmarkEnd w:id="9"/>
      <w:bookmarkEnd w:id="10"/>
    </w:p>
    <w:tbl>
      <w:tblPr>
        <w:tblStyle w:val="12"/>
        <w:tblW w:w="96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4389"/>
        <w:gridCol w:w="1235"/>
        <w:gridCol w:w="6"/>
        <w:gridCol w:w="1162"/>
        <w:gridCol w:w="1044"/>
        <w:gridCol w:w="419"/>
        <w:gridCol w:w="1324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1" w:type="dxa"/>
          <w:trHeight w:val="284" w:hRule="atLeast"/>
          <w:jc w:val="center"/>
        </w:trPr>
        <w:tc>
          <w:tcPr>
            <w:tcW w:w="6792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743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1" w:type="dxa"/>
          <w:trHeight w:val="284" w:hRule="atLeast"/>
          <w:jc w:val="center"/>
        </w:trPr>
        <w:tc>
          <w:tcPr>
            <w:tcW w:w="6792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1" w:type="dxa"/>
          <w:trHeight w:val="284" w:hRule="atLeast"/>
          <w:jc w:val="center"/>
        </w:trPr>
        <w:tc>
          <w:tcPr>
            <w:tcW w:w="6792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1" w:type="dxa"/>
          <w:trHeight w:val="284" w:hRule="atLeast"/>
          <w:jc w:val="center"/>
        </w:trPr>
        <w:tc>
          <w:tcPr>
            <w:tcW w:w="6792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7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1" w:type="dxa"/>
          <w:trHeight w:val="284" w:hRule="atLeast"/>
          <w:jc w:val="center"/>
        </w:trPr>
        <w:tc>
          <w:tcPr>
            <w:tcW w:w="43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1162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637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168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463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6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637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一、科普图书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63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1.当年出版种数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种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KM110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2.当年出版总册数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册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KM120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二、科普期刊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1.当年出版种数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种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KM210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2.当年出版总册数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册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KM220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三、科技类报纸当年发行总份数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KM400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四、科普电影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 当年放映片源数量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其中：国产数量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860" w:firstLineChars="5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进口数量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部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KM0402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 当年观众数量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KM041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五、电视台当年播出科普（技）节目时长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KM500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六、电台当年播出科普（技）节目时长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小时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KM600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七、科普网站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1.建设数量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2.当年访问数量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3.当年发文数量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KM720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八、当年发放科普读物和资料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KM800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九、科普类微博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1.建设数量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2.当年发文数量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3.当年阅读数量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KM012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4.粉丝数量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KM013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十、科普类微信公众号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1.建设数量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2.当年发文数量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篇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3.当年阅读数量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KM022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4.关注数量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KM023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十一、网络科普视频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1.当年发布数量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KM030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2.当年发布时长</w:t>
            </w:r>
          </w:p>
        </w:tc>
        <w:tc>
          <w:tcPr>
            <w:tcW w:w="116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小时</w:t>
            </w:r>
          </w:p>
        </w:tc>
        <w:tc>
          <w:tcPr>
            <w:tcW w:w="146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KM031</w:t>
            </w:r>
          </w:p>
        </w:tc>
        <w:tc>
          <w:tcPr>
            <w:tcW w:w="133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37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3.当年播放数量</w:t>
            </w:r>
          </w:p>
        </w:tc>
        <w:tc>
          <w:tcPr>
            <w:tcW w:w="116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4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KM032</w:t>
            </w:r>
          </w:p>
        </w:tc>
        <w:tc>
          <w:tcPr>
            <w:tcW w:w="1335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460</w:t>
            </w:r>
          </w:p>
        </w:tc>
      </w:tr>
    </w:tbl>
    <w:p>
      <w:pPr>
        <w:spacing w:before="115" w:beforeLines="20"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单位负责人：</w:t>
      </w:r>
      <w:r>
        <w:rPr>
          <w:rFonts w:hint="eastAsia" w:ascii="宋体" w:hAnsi="宋体" w:cs="宋体"/>
          <w:sz w:val="18"/>
          <w:szCs w:val="18"/>
          <w:u w:val="single"/>
        </w:rPr>
        <w:t>武保平</w:t>
      </w:r>
      <w:r>
        <w:rPr>
          <w:rFonts w:hint="eastAsia" w:ascii="宋体" w:hAnsi="宋体" w:eastAsia="宋体" w:cs="宋体"/>
          <w:sz w:val="18"/>
        </w:rPr>
        <w:t xml:space="preserve">   统计负责人：        填表人：</w:t>
      </w:r>
      <w:r>
        <w:rPr>
          <w:rFonts w:hint="eastAsia" w:ascii="宋体" w:hAnsi="宋体" w:cs="宋体"/>
          <w:sz w:val="18"/>
          <w:szCs w:val="18"/>
          <w:u w:val="single"/>
        </w:rPr>
        <w:t>武建勇</w:t>
      </w:r>
      <w:r>
        <w:rPr>
          <w:rFonts w:hint="eastAsia" w:ascii="宋体" w:hAnsi="宋体" w:eastAsia="宋体" w:cs="宋体"/>
          <w:sz w:val="18"/>
        </w:rPr>
        <w:t xml:space="preserve">   联系电话：</w:t>
      </w:r>
      <w:r>
        <w:rPr>
          <w:rFonts w:hint="eastAsia" w:ascii="宋体" w:hAnsi="宋体" w:cs="宋体"/>
          <w:sz w:val="18"/>
          <w:szCs w:val="18"/>
          <w:u w:val="single"/>
        </w:rPr>
        <w:t>0358-3902312</w:t>
      </w:r>
      <w:r>
        <w:rPr>
          <w:rFonts w:hint="eastAsia" w:ascii="宋体" w:hAnsi="宋体" w:eastAsia="宋体" w:cs="宋体"/>
          <w:sz w:val="18"/>
        </w:rPr>
        <w:t xml:space="preserve">  报出日期：20  年  月  日</w:t>
      </w:r>
    </w:p>
    <w:p>
      <w:pPr>
        <w:spacing w:line="240" w:lineRule="auto"/>
        <w:ind w:left="156" w:leftChars="50" w:right="156" w:rightChars="50" w:firstLine="0" w:firstLineChars="0"/>
        <w:rPr>
          <w:rFonts w:eastAsia="楷体_GB2312"/>
          <w:sz w:val="18"/>
        </w:rPr>
      </w:pP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说明：</w:t>
      </w:r>
      <w:bookmarkStart w:id="11" w:name="OLE_LINK1"/>
      <w:r>
        <w:rPr>
          <w:rFonts w:hint="eastAsia" w:ascii="宋体" w:hAnsi="宋体" w:eastAsia="宋体" w:cs="宋体"/>
          <w:sz w:val="18"/>
          <w:szCs w:val="18"/>
        </w:rPr>
        <w:t>1. 主要平衡关系：</w:t>
      </w:r>
      <w:r>
        <w:rPr>
          <w:rFonts w:hint="eastAsia" w:ascii="宋体" w:hAnsi="宋体" w:eastAsia="宋体" w:cs="宋体"/>
          <w:sz w:val="18"/>
        </w:rPr>
        <w:t>KM040= KM0401+</w:t>
      </w:r>
      <w:r>
        <w:rPr>
          <w:rFonts w:ascii="宋体" w:hAnsi="宋体" w:eastAsia="宋体" w:cs="宋体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KM040</w:t>
      </w:r>
      <w:r>
        <w:rPr>
          <w:rFonts w:ascii="宋体" w:hAnsi="宋体" w:eastAsia="宋体" w:cs="宋体"/>
          <w:sz w:val="18"/>
        </w:rPr>
        <w:t>2</w:t>
      </w:r>
      <w:bookmarkEnd w:id="11"/>
    </w:p>
    <w:p>
      <w:pPr>
        <w:spacing w:line="240" w:lineRule="auto"/>
        <w:ind w:left="156" w:leftChars="50" w:right="156" w:rightChars="50" w:firstLine="516" w:firstLineChars="3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 科普传媒是指各填报单位产出的科普作品，而不是填报单位订阅的资料。</w:t>
      </w: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3. 科普图书需要取得ISBN编号，科普期刊和科技类报纸需要取得国内统一连续出版物号，科普电影需要取得电影片公映许可证。</w:t>
      </w: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</w:t>
      </w:r>
      <w:r>
        <w:rPr>
          <w:rFonts w:ascii="宋体" w:hAnsi="宋体" w:eastAsia="宋体" w:cs="宋体"/>
          <w:sz w:val="18"/>
          <w:szCs w:val="18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. KM500和KM600由广播电视部门和宣传部门填报。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bookmarkStart w:id="12" w:name="_Toc533692848"/>
      <w:r>
        <w:rPr>
          <w:rFonts w:hint="eastAsia"/>
        </w:rPr>
        <w:br w:type="page"/>
      </w:r>
      <w:bookmarkStart w:id="13" w:name="_Toc90020009"/>
      <w:r>
        <w:rPr>
          <w:rFonts w:hint="eastAsia"/>
        </w:rPr>
        <w:t>（六）科普活动</w:t>
      </w:r>
      <w:bookmarkEnd w:id="12"/>
      <w:bookmarkEnd w:id="13"/>
    </w:p>
    <w:tbl>
      <w:tblPr>
        <w:tblStyle w:val="12"/>
        <w:tblW w:w="9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500"/>
        <w:gridCol w:w="859"/>
        <w:gridCol w:w="268"/>
        <w:gridCol w:w="931"/>
        <w:gridCol w:w="1041"/>
        <w:gridCol w:w="641"/>
        <w:gridCol w:w="1338"/>
        <w:gridCol w:w="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55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2004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558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55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55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尚未领取统一社会信用代码的填写原组织机构代码号□□□□□□□□－□</w:t>
            </w: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7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45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93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一、科普（技）讲座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KH120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KH130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78" w:leftChars="25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KH140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二、科普（技）展览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53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1.当年专题展览线下举办次数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KH210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53"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KH220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53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2.当年专题展览线上举办次数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KH230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53"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KH240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三、科普（技）竞赛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53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1.当年线下举办次数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KH310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KH320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53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KH330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KH340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四、科普国际交流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1.当年线下举办次数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KH410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0" w:hRule="atLeast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KH420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KH430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KH440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五、青少年科普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53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1.青少年科技兴趣小组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当年成立个数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KH511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158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KH512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2.科技夏（冬）令营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158" w:firstLine="172" w:firstLineChars="100"/>
              <w:rPr>
                <w:rFonts w:ascii="宋体" w:hAnsi="宋体" w:eastAsia="宋体" w:cs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KH521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158" w:firstLine="172" w:firstLineChars="100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KH522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3.青少年主题科普活动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158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KH531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158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KH532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六、老年人科普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1.当年科普主题活动举办次数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KH010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KH020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七、科技活动周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1.科普专题活动线下举办次数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KH610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78" w:leftChars="25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线下参加人次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KH620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2.科普专题活动线上举办次数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KH630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left="78" w:leftChars="25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线上参加人次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KH640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八、大学、科研机构向社会开放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contextualSpacing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1.当年开放单位个数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KH710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172" w:firstLineChars="10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2.当年参观人次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KH720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九、当年举办实用技术培训次数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KH810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contextualSpacing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当年参加人次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KH820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十、当年重大科普活动次数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次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KH900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十一、科普研发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当年获批市级及以上科普项目数量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KH030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5377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其中：当年获批省、部级及以上科普项目数量</w:t>
            </w:r>
          </w:p>
        </w:tc>
        <w:tc>
          <w:tcPr>
            <w:tcW w:w="119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项</w:t>
            </w:r>
          </w:p>
        </w:tc>
        <w:tc>
          <w:tcPr>
            <w:tcW w:w="168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KH0301</w:t>
            </w:r>
          </w:p>
        </w:tc>
        <w:tc>
          <w:tcPr>
            <w:tcW w:w="1338" w:type="dxa"/>
            <w:tcBorders>
              <w:top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pacing w:before="115" w:beforeLines="20" w:line="240" w:lineRule="auto"/>
        <w:ind w:left="156" w:leftChars="50" w:right="156" w:rightChars="50" w:firstLine="0" w:firstLineChars="0"/>
        <w:rPr>
          <w:rFonts w:eastAsia="楷体_GB2312"/>
          <w:sz w:val="18"/>
        </w:rPr>
      </w:pPr>
      <w:r>
        <w:rPr>
          <w:rFonts w:hint="eastAsia" w:ascii="宋体" w:hAnsi="宋体" w:eastAsia="宋体" w:cs="宋体"/>
          <w:sz w:val="18"/>
        </w:rPr>
        <w:t>单位负责人：</w:t>
      </w:r>
      <w:r>
        <w:rPr>
          <w:rFonts w:hint="eastAsia" w:ascii="宋体" w:hAnsi="宋体" w:cs="宋体"/>
          <w:sz w:val="18"/>
          <w:szCs w:val="18"/>
          <w:u w:val="single"/>
        </w:rPr>
        <w:t>武保平</w:t>
      </w:r>
      <w:r>
        <w:rPr>
          <w:rFonts w:hint="eastAsia" w:ascii="宋体" w:hAnsi="宋体" w:eastAsia="宋体" w:cs="宋体"/>
          <w:sz w:val="18"/>
        </w:rPr>
        <w:t xml:space="preserve">     统计负责人：        填表人：</w:t>
      </w:r>
      <w:r>
        <w:rPr>
          <w:rFonts w:hint="eastAsia" w:ascii="宋体" w:hAnsi="宋体" w:cs="宋体"/>
          <w:sz w:val="18"/>
          <w:szCs w:val="18"/>
          <w:u w:val="single"/>
        </w:rPr>
        <w:t>武建勇</w:t>
      </w:r>
      <w:r>
        <w:rPr>
          <w:rFonts w:hint="eastAsia" w:ascii="宋体" w:hAnsi="宋体" w:eastAsia="宋体" w:cs="宋体"/>
          <w:sz w:val="18"/>
        </w:rPr>
        <w:t xml:space="preserve">    联系电话：</w:t>
      </w:r>
      <w:r>
        <w:rPr>
          <w:rFonts w:hint="eastAsia" w:ascii="宋体" w:hAnsi="宋体" w:cs="宋体"/>
          <w:sz w:val="18"/>
          <w:szCs w:val="18"/>
          <w:u w:val="single"/>
        </w:rPr>
        <w:t>0358-3902312</w:t>
      </w:r>
      <w:r>
        <w:rPr>
          <w:rFonts w:hint="eastAsia" w:ascii="宋体" w:hAnsi="宋体" w:eastAsia="宋体" w:cs="宋体"/>
          <w:sz w:val="18"/>
        </w:rPr>
        <w:t xml:space="preserve">  报出日期：20  年  月  日</w:t>
      </w:r>
    </w:p>
    <w:p>
      <w:pPr>
        <w:spacing w:line="240" w:lineRule="auto"/>
        <w:ind w:left="156" w:leftChars="50" w:right="156" w:rightChars="50" w:firstLine="0" w:firstLineChars="0"/>
        <w:rPr>
          <w:rFonts w:eastAsia="楷体_GB2312"/>
          <w:sz w:val="18"/>
        </w:rPr>
      </w:pPr>
    </w:p>
    <w:p>
      <w:pPr>
        <w:spacing w:line="240" w:lineRule="auto"/>
        <w:ind w:left="156" w:leftChars="50" w:right="156" w:rightChars="50" w:firstLine="0" w:firstLineChars="0"/>
        <w:rPr>
          <w:rFonts w:eastAsia="楷体_GB2312"/>
          <w:sz w:val="18"/>
        </w:rPr>
      </w:pPr>
    </w:p>
    <w:p>
      <w:pPr>
        <w:spacing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说明：</w:t>
      </w:r>
      <w:r>
        <w:rPr>
          <w:rFonts w:hint="eastAsia" w:ascii="宋体" w:hAnsi="宋体" w:eastAsia="宋体" w:cs="宋体"/>
          <w:sz w:val="18"/>
          <w:szCs w:val="18"/>
        </w:rPr>
        <w:t>1. 主要平衡关系：</w:t>
      </w:r>
      <w:bookmarkStart w:id="14" w:name="OLE_LINK2"/>
      <w:r>
        <w:rPr>
          <w:rFonts w:hint="eastAsia" w:ascii="宋体" w:hAnsi="宋体" w:eastAsia="宋体" w:cs="宋体"/>
          <w:sz w:val="18"/>
        </w:rPr>
        <w:t>KH030</w:t>
      </w:r>
      <w:bookmarkEnd w:id="14"/>
      <w:r>
        <w:rPr>
          <w:rFonts w:hint="eastAsia" w:ascii="宋体" w:hAnsi="宋体" w:eastAsia="宋体" w:cs="宋体"/>
          <w:sz w:val="18"/>
          <w:szCs w:val="18"/>
        </w:rPr>
        <w:t>≥</w:t>
      </w:r>
      <w:r>
        <w:rPr>
          <w:rFonts w:hint="eastAsia" w:ascii="宋体" w:hAnsi="宋体" w:eastAsia="宋体" w:cs="宋体"/>
          <w:sz w:val="18"/>
        </w:rPr>
        <w:t>KH0301</w:t>
      </w:r>
    </w:p>
    <w:p>
      <w:pPr>
        <w:spacing w:line="240" w:lineRule="auto"/>
        <w:ind w:left="156" w:leftChars="50" w:right="156" w:rightChars="50" w:firstLine="516" w:firstLineChars="30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2. 填报单位组织的科普活动，参加的活动不在统计范围内。</w:t>
      </w:r>
    </w:p>
    <w:p>
      <w:pPr>
        <w:spacing w:line="240" w:lineRule="auto"/>
        <w:ind w:left="887" w:leftChars="50" w:right="156" w:rightChars="50" w:hanging="731" w:hangingChars="425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 xml:space="preserve">      3. 多主办单位的活动由第一主办单位填报。如果第一填报单位不在调查统计范围内的，可以由第二主办单位填报，以此类推。</w:t>
      </w:r>
    </w:p>
    <w:p>
      <w:pPr>
        <w:pStyle w:val="3"/>
        <w:spacing w:line="400" w:lineRule="exact"/>
        <w:ind w:firstLine="0" w:firstLineChars="0"/>
        <w:jc w:val="center"/>
        <w:rPr>
          <w:rFonts w:ascii="宋体" w:hAnsi="宋体" w:eastAsia="宋体" w:cs="宋体"/>
        </w:rPr>
      </w:pPr>
      <w:bookmarkStart w:id="15" w:name="_Toc533692849"/>
      <w:r>
        <w:rPr>
          <w:rFonts w:hint="eastAsia"/>
        </w:rPr>
        <w:br w:type="page"/>
      </w:r>
      <w:bookmarkStart w:id="16" w:name="_Toc90020010"/>
      <w:r>
        <w:rPr>
          <w:rFonts w:hint="eastAsia"/>
        </w:rPr>
        <w:t>（七）</w:t>
      </w:r>
      <w:bookmarkEnd w:id="15"/>
      <w:r>
        <w:rPr>
          <w:rFonts w:hint="eastAsia"/>
        </w:rPr>
        <w:t>科学教育</w:t>
      </w:r>
      <w:bookmarkEnd w:id="16"/>
    </w:p>
    <w:tbl>
      <w:tblPr>
        <w:tblStyle w:val="12"/>
        <w:tblW w:w="96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699"/>
        <w:gridCol w:w="902"/>
        <w:gridCol w:w="292"/>
        <w:gridCol w:w="949"/>
        <w:gridCol w:w="263"/>
        <w:gridCol w:w="706"/>
        <w:gridCol w:w="415"/>
        <w:gridCol w:w="1334"/>
        <w:gridCol w:w="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    号：</w:t>
            </w:r>
          </w:p>
        </w:tc>
        <w:tc>
          <w:tcPr>
            <w:tcW w:w="1794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KP-006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842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组织机构代码□□□□□□□□－□</w:t>
            </w:r>
          </w:p>
        </w:tc>
        <w:tc>
          <w:tcPr>
            <w:tcW w:w="9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批准机关：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6842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9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17"/>
              <w:tabs>
                <w:tab w:val="left" w:pos="730"/>
              </w:tabs>
              <w:kinsoku w:val="0"/>
              <w:overflowPunct w:val="0"/>
              <w:spacing w:line="240" w:lineRule="auto"/>
              <w:ind w:firstLine="0" w:firstLineChars="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国统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〔2022</w:t>
            </w:r>
            <w:r>
              <w:rPr>
                <w:rFonts w:hint="eastAsia" w:ascii="宋体" w:hAnsi="宋体" w:eastAsia="宋体" w:cs="宋体"/>
                <w:spacing w:val="-3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84" w:hRule="atLeast"/>
          <w:jc w:val="center"/>
        </w:trPr>
        <w:tc>
          <w:tcPr>
            <w:tcW w:w="469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025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38" w:hRule="atLeast"/>
          <w:jc w:val="center"/>
        </w:trPr>
        <w:tc>
          <w:tcPr>
            <w:tcW w:w="5619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指标名称</w:t>
            </w: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计量单位</w:t>
            </w:r>
          </w:p>
        </w:tc>
        <w:tc>
          <w:tcPr>
            <w:tcW w:w="1121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代码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38" w:hRule="atLeast"/>
          <w:jc w:val="center"/>
        </w:trPr>
        <w:tc>
          <w:tcPr>
            <w:tcW w:w="561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甲</w:t>
            </w: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乙</w:t>
            </w:r>
          </w:p>
        </w:tc>
        <w:tc>
          <w:tcPr>
            <w:tcW w:w="11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丙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24" w:hRule="atLeast"/>
          <w:jc w:val="center"/>
        </w:trPr>
        <w:tc>
          <w:tcPr>
            <w:tcW w:w="5619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一、师资队伍</w:t>
            </w:r>
          </w:p>
        </w:tc>
        <w:tc>
          <w:tcPr>
            <w:tcW w:w="15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24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6"/>
              <w:spacing w:line="240" w:lineRule="auto"/>
              <w:ind w:left="-28" w:leftChars="-9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1.义务教育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KX113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6"/>
              <w:spacing w:line="240" w:lineRule="auto"/>
              <w:ind w:left="-28" w:leftChars="-9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2.高中阶段教育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sz w:val="18"/>
              </w:rPr>
              <w:t>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sz w:val="18"/>
              </w:rPr>
              <w:t>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sz w:val="18"/>
              </w:rPr>
              <w:t>教育外聘专家数量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KX123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6"/>
              <w:spacing w:line="240" w:lineRule="auto"/>
              <w:ind w:left="-28" w:leftChars="-9" w:firstLine="172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3.高等教育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本校全职科学教育教师数量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本校兼职科学教育教师数量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当年科学教育外聘专家数量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KX133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二、教学情况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6"/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1.义务教育阶段科学教育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当年课程课时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其中：当年校外课时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KX212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6"/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2.高中阶段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sz w:val="18"/>
              </w:rPr>
              <w:t>教育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当年课程课时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其中：当年校外课时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节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KX2211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KX222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6"/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3.高等科学教育人才培养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当年专科专业学生数量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KX233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当年本科专业学生数量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KX231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516" w:firstLineChars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当年研究生专业学生数量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KX232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三、中小学科普（技）活动场所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—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6"/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1.场所数量</w:t>
            </w:r>
          </w:p>
        </w:tc>
        <w:tc>
          <w:tcPr>
            <w:tcW w:w="150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个</w:t>
            </w:r>
          </w:p>
        </w:tc>
        <w:tc>
          <w:tcPr>
            <w:tcW w:w="11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KX310</w:t>
            </w:r>
          </w:p>
        </w:tc>
        <w:tc>
          <w:tcPr>
            <w:tcW w:w="133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338" w:hRule="atLeast"/>
          <w:jc w:val="center"/>
        </w:trPr>
        <w:tc>
          <w:tcPr>
            <w:tcW w:w="5619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2.当年服务学生数量</w:t>
            </w:r>
          </w:p>
        </w:tc>
        <w:tc>
          <w:tcPr>
            <w:tcW w:w="1504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人</w:t>
            </w:r>
          </w:p>
        </w:tc>
        <w:tc>
          <w:tcPr>
            <w:tcW w:w="1121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KX320</w:t>
            </w:r>
          </w:p>
        </w:tc>
        <w:tc>
          <w:tcPr>
            <w:tcW w:w="133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before="115" w:beforeLines="20" w:line="240" w:lineRule="auto"/>
        <w:ind w:left="156" w:leftChars="50" w:right="156" w:rightChars="50" w:firstLine="0" w:firstLineChars="0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单位负责人：</w:t>
      </w:r>
      <w:r>
        <w:rPr>
          <w:rFonts w:hint="eastAsia" w:ascii="宋体" w:hAnsi="宋体" w:cs="宋体"/>
          <w:sz w:val="18"/>
          <w:szCs w:val="18"/>
          <w:u w:val="single"/>
        </w:rPr>
        <w:t>武保平</w:t>
      </w:r>
      <w:r>
        <w:rPr>
          <w:rFonts w:hint="eastAsia" w:ascii="宋体" w:hAnsi="宋体" w:eastAsia="宋体" w:cs="宋体"/>
          <w:sz w:val="18"/>
        </w:rPr>
        <w:t xml:space="preserve">     统计负责人：       填表人：</w:t>
      </w:r>
      <w:r>
        <w:rPr>
          <w:rFonts w:hint="eastAsia" w:ascii="宋体" w:hAnsi="宋体" w:cs="宋体"/>
          <w:sz w:val="18"/>
          <w:szCs w:val="18"/>
          <w:u w:val="single"/>
        </w:rPr>
        <w:t>武建勇</w:t>
      </w:r>
      <w:r>
        <w:rPr>
          <w:rFonts w:hint="eastAsia" w:ascii="宋体" w:hAnsi="宋体" w:eastAsia="宋体" w:cs="宋体"/>
          <w:sz w:val="18"/>
        </w:rPr>
        <w:t xml:space="preserve">  联系电话：</w:t>
      </w:r>
      <w:r>
        <w:rPr>
          <w:rFonts w:hint="eastAsia" w:ascii="宋体" w:hAnsi="宋体" w:cs="宋体"/>
          <w:sz w:val="18"/>
          <w:szCs w:val="18"/>
          <w:u w:val="single"/>
        </w:rPr>
        <w:t>0358-3902312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</w:rPr>
        <w:t xml:space="preserve"> 报出日期：20  年  月  日</w:t>
      </w:r>
    </w:p>
    <w:p>
      <w:pPr>
        <w:spacing w:line="240" w:lineRule="auto"/>
        <w:ind w:right="156" w:rightChars="50" w:firstLine="0" w:firstLineChars="0"/>
        <w:rPr>
          <w:rFonts w:eastAsia="楷体_GB2312"/>
          <w:sz w:val="18"/>
        </w:rPr>
      </w:pPr>
    </w:p>
    <w:p>
      <w:pPr>
        <w:spacing w:line="240" w:lineRule="auto"/>
        <w:ind w:right="156" w:rightChars="5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18"/>
          <w:szCs w:val="18"/>
        </w:rPr>
        <w:t>说明：主要平衡关系：</w:t>
      </w:r>
      <w:r>
        <w:rPr>
          <w:rFonts w:ascii="宋体" w:hAnsi="宋体" w:eastAsia="宋体" w:cs="宋体"/>
          <w:sz w:val="18"/>
        </w:rPr>
        <w:t>KX211</w:t>
      </w:r>
      <w:r>
        <w:rPr>
          <w:rFonts w:hint="eastAsia" w:ascii="宋体" w:hAnsi="宋体" w:eastAsia="宋体" w:cs="宋体"/>
          <w:sz w:val="18"/>
        </w:rPr>
        <w:t>≥</w:t>
      </w:r>
      <w:r>
        <w:rPr>
          <w:rFonts w:ascii="宋体" w:hAnsi="宋体" w:eastAsia="宋体" w:cs="宋体"/>
          <w:sz w:val="18"/>
        </w:rPr>
        <w:t xml:space="preserve"> </w:t>
      </w:r>
      <w:r>
        <w:rPr>
          <w:rFonts w:hint="eastAsia" w:ascii="宋体" w:hAnsi="宋体" w:eastAsia="宋体" w:cs="宋体"/>
          <w:sz w:val="18"/>
        </w:rPr>
        <w:t>KX2111；KX221</w:t>
      </w:r>
      <w:r>
        <w:rPr>
          <w:rFonts w:hint="eastAsia" w:ascii="宋体" w:hAnsi="宋体" w:eastAsia="宋体" w:cs="宋体"/>
          <w:sz w:val="18"/>
          <w:szCs w:val="18"/>
        </w:rPr>
        <w:t>≥</w:t>
      </w:r>
      <w:r>
        <w:rPr>
          <w:rFonts w:hint="eastAsia" w:ascii="宋体" w:hAnsi="宋体" w:eastAsia="宋体" w:cs="宋体"/>
          <w:sz w:val="18"/>
        </w:rPr>
        <w:t>KX2211</w:t>
      </w:r>
    </w:p>
    <w:sectPr>
      <w:headerReference r:id="rId3" w:type="default"/>
      <w:footerReference r:id="rId4" w:type="default"/>
      <w:pgSz w:w="11906" w:h="16838"/>
      <w:pgMar w:top="1304" w:right="1247" w:bottom="1304" w:left="1247" w:header="851" w:footer="850" w:gutter="0"/>
      <w:cols w:space="720" w:num="1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nD5pq6wBAABN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6E6F"/>
    <w:multiLevelType w:val="multilevel"/>
    <w:tmpl w:val="586F6E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8D109F"/>
    <w:multiLevelType w:val="multilevel"/>
    <w:tmpl w:val="748D109F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56"/>
  <w:drawingGridVerticalSpacing w:val="579"/>
  <w:displayHorizontalDrawingGridEvery w:val="2"/>
  <w:displayVerticalDrawingGridEvery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6E94"/>
    <w:rsid w:val="00097E3C"/>
    <w:rsid w:val="000F7475"/>
    <w:rsid w:val="001020F6"/>
    <w:rsid w:val="00133834"/>
    <w:rsid w:val="00136BCB"/>
    <w:rsid w:val="001413E5"/>
    <w:rsid w:val="00172A27"/>
    <w:rsid w:val="0017652C"/>
    <w:rsid w:val="001820AA"/>
    <w:rsid w:val="00194327"/>
    <w:rsid w:val="00194E6B"/>
    <w:rsid w:val="00200681"/>
    <w:rsid w:val="002032C8"/>
    <w:rsid w:val="00263DCB"/>
    <w:rsid w:val="002A760F"/>
    <w:rsid w:val="002C46E5"/>
    <w:rsid w:val="002C48E3"/>
    <w:rsid w:val="002C6FBE"/>
    <w:rsid w:val="003873A5"/>
    <w:rsid w:val="00391902"/>
    <w:rsid w:val="00396733"/>
    <w:rsid w:val="00403321"/>
    <w:rsid w:val="004347AC"/>
    <w:rsid w:val="00456A19"/>
    <w:rsid w:val="004857AD"/>
    <w:rsid w:val="004866D4"/>
    <w:rsid w:val="004B3CB5"/>
    <w:rsid w:val="004B4770"/>
    <w:rsid w:val="00514FD1"/>
    <w:rsid w:val="005A18E8"/>
    <w:rsid w:val="006C32E8"/>
    <w:rsid w:val="006D71AC"/>
    <w:rsid w:val="0074535B"/>
    <w:rsid w:val="00752D6E"/>
    <w:rsid w:val="00761BB3"/>
    <w:rsid w:val="007A29B4"/>
    <w:rsid w:val="007A399D"/>
    <w:rsid w:val="007D1DE7"/>
    <w:rsid w:val="00825477"/>
    <w:rsid w:val="00840911"/>
    <w:rsid w:val="008444BA"/>
    <w:rsid w:val="00863DDF"/>
    <w:rsid w:val="00864AF3"/>
    <w:rsid w:val="008B364D"/>
    <w:rsid w:val="008B59B9"/>
    <w:rsid w:val="008F05CF"/>
    <w:rsid w:val="009066ED"/>
    <w:rsid w:val="0091374B"/>
    <w:rsid w:val="00980D68"/>
    <w:rsid w:val="009C6E30"/>
    <w:rsid w:val="009E36E3"/>
    <w:rsid w:val="00A225EB"/>
    <w:rsid w:val="00A60622"/>
    <w:rsid w:val="00AC1223"/>
    <w:rsid w:val="00AE7090"/>
    <w:rsid w:val="00AE7FD9"/>
    <w:rsid w:val="00B83483"/>
    <w:rsid w:val="00BA6C5D"/>
    <w:rsid w:val="00BB170C"/>
    <w:rsid w:val="00CE737C"/>
    <w:rsid w:val="00D2110A"/>
    <w:rsid w:val="00D21FD1"/>
    <w:rsid w:val="00D36622"/>
    <w:rsid w:val="00D60260"/>
    <w:rsid w:val="00D971D5"/>
    <w:rsid w:val="00DB56CC"/>
    <w:rsid w:val="00DF165A"/>
    <w:rsid w:val="00E12F56"/>
    <w:rsid w:val="00E3148B"/>
    <w:rsid w:val="00E57C6B"/>
    <w:rsid w:val="00E96015"/>
    <w:rsid w:val="00FB2E1C"/>
    <w:rsid w:val="00FF19F0"/>
    <w:rsid w:val="00FF6E98"/>
    <w:rsid w:val="03DF1660"/>
    <w:rsid w:val="08292C20"/>
    <w:rsid w:val="08BD5E1C"/>
    <w:rsid w:val="09C35F2C"/>
    <w:rsid w:val="0C686809"/>
    <w:rsid w:val="0E8507B5"/>
    <w:rsid w:val="0EF47A6E"/>
    <w:rsid w:val="1175095F"/>
    <w:rsid w:val="122D026E"/>
    <w:rsid w:val="15723721"/>
    <w:rsid w:val="15D43DE8"/>
    <w:rsid w:val="164A13C2"/>
    <w:rsid w:val="170A59B9"/>
    <w:rsid w:val="18411376"/>
    <w:rsid w:val="184F7852"/>
    <w:rsid w:val="18D445E4"/>
    <w:rsid w:val="1CAE2BDB"/>
    <w:rsid w:val="1D442F99"/>
    <w:rsid w:val="1F7C6767"/>
    <w:rsid w:val="1FDA231C"/>
    <w:rsid w:val="20433F7D"/>
    <w:rsid w:val="212136FE"/>
    <w:rsid w:val="217D3C5C"/>
    <w:rsid w:val="21932F50"/>
    <w:rsid w:val="21EF394F"/>
    <w:rsid w:val="23FF1F58"/>
    <w:rsid w:val="257F750E"/>
    <w:rsid w:val="26BC76FE"/>
    <w:rsid w:val="27812977"/>
    <w:rsid w:val="28334F4D"/>
    <w:rsid w:val="289A5B44"/>
    <w:rsid w:val="2D250486"/>
    <w:rsid w:val="317A503E"/>
    <w:rsid w:val="319E0A6E"/>
    <w:rsid w:val="32DC4585"/>
    <w:rsid w:val="33E3095F"/>
    <w:rsid w:val="34255DAD"/>
    <w:rsid w:val="34630567"/>
    <w:rsid w:val="3495719E"/>
    <w:rsid w:val="35D04D6D"/>
    <w:rsid w:val="360A6AFD"/>
    <w:rsid w:val="37FB65FF"/>
    <w:rsid w:val="38984215"/>
    <w:rsid w:val="3E2576AA"/>
    <w:rsid w:val="3F115584"/>
    <w:rsid w:val="3F342BF6"/>
    <w:rsid w:val="3FA2D889"/>
    <w:rsid w:val="40891702"/>
    <w:rsid w:val="439E6C28"/>
    <w:rsid w:val="46373EF7"/>
    <w:rsid w:val="475A2C83"/>
    <w:rsid w:val="47D10F36"/>
    <w:rsid w:val="47EB60B5"/>
    <w:rsid w:val="482D70AA"/>
    <w:rsid w:val="493929BE"/>
    <w:rsid w:val="49994FE4"/>
    <w:rsid w:val="4A0D0BEE"/>
    <w:rsid w:val="4F285689"/>
    <w:rsid w:val="53852551"/>
    <w:rsid w:val="53A93E26"/>
    <w:rsid w:val="57D83E10"/>
    <w:rsid w:val="58680059"/>
    <w:rsid w:val="594547F1"/>
    <w:rsid w:val="59C061D0"/>
    <w:rsid w:val="59F65023"/>
    <w:rsid w:val="5B4F7984"/>
    <w:rsid w:val="5C281A8F"/>
    <w:rsid w:val="5D013CA2"/>
    <w:rsid w:val="5DFA7BA8"/>
    <w:rsid w:val="5DFE3484"/>
    <w:rsid w:val="5F2B407C"/>
    <w:rsid w:val="5FDB51C1"/>
    <w:rsid w:val="60B00427"/>
    <w:rsid w:val="614F0905"/>
    <w:rsid w:val="61A46CB0"/>
    <w:rsid w:val="62AF0887"/>
    <w:rsid w:val="62E159CC"/>
    <w:rsid w:val="63F93556"/>
    <w:rsid w:val="64810EA8"/>
    <w:rsid w:val="65245DA8"/>
    <w:rsid w:val="659E26CA"/>
    <w:rsid w:val="675C51FE"/>
    <w:rsid w:val="68457021"/>
    <w:rsid w:val="68697C96"/>
    <w:rsid w:val="6A222462"/>
    <w:rsid w:val="6C0266E7"/>
    <w:rsid w:val="6C5F583B"/>
    <w:rsid w:val="6E7B443A"/>
    <w:rsid w:val="6E9C3A95"/>
    <w:rsid w:val="6ECC0DEE"/>
    <w:rsid w:val="6FB77CE4"/>
    <w:rsid w:val="6FCE91A2"/>
    <w:rsid w:val="71925C3B"/>
    <w:rsid w:val="734306CC"/>
    <w:rsid w:val="73756289"/>
    <w:rsid w:val="73D43CA9"/>
    <w:rsid w:val="74B74C5B"/>
    <w:rsid w:val="75D86786"/>
    <w:rsid w:val="774B3130"/>
    <w:rsid w:val="78047422"/>
    <w:rsid w:val="78BD3832"/>
    <w:rsid w:val="796F6020"/>
    <w:rsid w:val="79BEC86A"/>
    <w:rsid w:val="7A1A4646"/>
    <w:rsid w:val="7B1D6FB4"/>
    <w:rsid w:val="7C09018C"/>
    <w:rsid w:val="7D233405"/>
    <w:rsid w:val="7D9D6439"/>
    <w:rsid w:val="7DDE7982"/>
    <w:rsid w:val="7E2E5A6C"/>
    <w:rsid w:val="7EAF1F11"/>
    <w:rsid w:val="7FFB417D"/>
    <w:rsid w:val="9E84AA36"/>
    <w:rsid w:val="B6EB756F"/>
    <w:rsid w:val="BF91CE26"/>
    <w:rsid w:val="F4EF1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1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link w:val="18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1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616" w:firstLineChars="200"/>
      <w:outlineLvl w:val="2"/>
    </w:pPr>
    <w:rPr>
      <w:b/>
      <w:bCs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link w:val="19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4">
    <w:name w:val="page number"/>
    <w:qFormat/>
    <w:uiPriority w:val="0"/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8">
    <w:name w:val="标题 2 字符"/>
    <w:link w:val="3"/>
    <w:qFormat/>
    <w:uiPriority w:val="0"/>
    <w:rPr>
      <w:rFonts w:eastAsia="楷体_GB2312"/>
    </w:rPr>
  </w:style>
  <w:style w:type="character" w:customStyle="1" w:styleId="19">
    <w:name w:val="批注框文本 字符"/>
    <w:link w:val="7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4699</Words>
  <Characters>7237</Characters>
  <Lines>137</Lines>
  <Paragraphs>38</Paragraphs>
  <TotalTime>1</TotalTime>
  <ScaleCrop>false</ScaleCrop>
  <LinksUpToDate>false</LinksUpToDate>
  <CharactersWithSpaces>7887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2022-01-12T09:55:00Z</dcterms:created>
  <dc:creator>zhanghao</dc:creator>
  <cp:lastModifiedBy>幸运儿</cp:lastModifiedBy>
  <cp:lastPrinted>2021-07-29T01:40:00Z</cp:lastPrinted>
  <dcterms:modified xsi:type="dcterms:W3CDTF">2022-04-18T07:43:58Z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C8C9F205677944E494671DA76053B1E7</vt:lpwstr>
  </property>
</Properties>
</file>